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Kabbalah 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D’après une idée de Yaakab pour le 3FF 2021 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CC-BY-NC-SA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Les PJ sont des êtres spirituels (genre anges gardiens) qui vont aider un être charnel (chacun le sien) à affronter des situations dans le monde matériel. Pour cela, ils doivent naviguer dans les mondes de Kabbalah (en jetant 1d4 chaque fois qu’ils veulent agir = ils ne peuvent pas rester immobiles) afin de solliciter leurs pouvoirs. </w:t>
      </w:r>
    </w:p>
    <w:p>
      <w:pPr>
        <w:pStyle w:val="Normal"/>
        <w:spacing w:lineRule="auto" w:line="240" w:before="0" w:after="0"/>
        <w:rPr/>
      </w:pPr>
      <w:r>
        <w:rPr/>
        <w:t>Mais Kabbalah est un univers qui recèle ses propres difficultés et dangers…</w:t>
      </w:r>
    </w:p>
    <w:p>
      <w:pPr>
        <w:pStyle w:val="Normal"/>
        <w:spacing w:lineRule="auto" w:line="240" w:before="0" w:after="0"/>
        <w:rPr/>
      </w:pPr>
      <w:r>
        <w:rPr/>
        <w:t>L’action se déroulent donc sur plusieurs plans : le plan matériel où le personnage aidé évolue, les mondes de Kabbalah avec lequel les PJ interagissent.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1 - L’arbre de Vie et ses 10 Sephiroth (singulier sephira)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297180</wp:posOffset>
                </wp:positionH>
                <wp:positionV relativeFrom="paragraph">
                  <wp:posOffset>16510</wp:posOffset>
                </wp:positionV>
                <wp:extent cx="5906135" cy="7041515"/>
                <wp:effectExtent l="0" t="0" r="19050" b="26670"/>
                <wp:wrapNone/>
                <wp:docPr id="1" name="Groupe 2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440" cy="7040880"/>
                        </a:xfrm>
                      </wpg:grpSpPr>
                      <wpg:grpSp>
                        <wpg:cNvGrpSpPr/>
                        <wpg:grpSpPr>
                          <a:xfrm>
                            <a:off x="1364040" y="0"/>
                            <a:ext cx="3337560" cy="5501520"/>
                          </a:xfrm>
                        </wpg:grpSpPr>
                        <wpg:grpSp>
                          <wpg:cNvGrpSpPr/>
                          <wpg:grpSpPr>
                            <a:xfrm>
                              <a:off x="2431440" y="716400"/>
                              <a:ext cx="906120" cy="45493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867960" cy="454932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90612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Miséricorde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716400"/>
                              <a:ext cx="906120" cy="45493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867960" cy="454932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90612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Rigueur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203840" y="0"/>
                              <a:ext cx="868680" cy="55015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868680" cy="550152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86868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Equilibre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746640" y="122040"/>
                            <a:ext cx="5158800" cy="6918840"/>
                          </a:xfrm>
                        </wpg:grpSpPr>
                        <wpg:grpSp>
                          <wpg:cNvGrpSpPr/>
                          <wpg:grpSpPr>
                            <a:xfrm>
                              <a:off x="1729800" y="0"/>
                              <a:ext cx="2430720" cy="1881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430720" cy="1881360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67400" y="14472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color w:val="ED7D31"/>
                                    </w:rPr>
                                    <w:t>Atziluth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99000"/>
                              <a:ext cx="1683360" cy="16149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683360" cy="1614960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66760" y="9900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color w:val="0070C0"/>
                                    </w:rPr>
                                    <w:t>Beriah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22040" y="1767600"/>
                              <a:ext cx="5036760" cy="35355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036760" cy="3535560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3795480" y="83088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color w:val="70AD47"/>
                                    </w:rPr>
                                    <w:t>Yetzirah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44000" y="5303880"/>
                              <a:ext cx="1775520" cy="16149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91440" y="0"/>
                                <a:ext cx="1684080" cy="1614960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67824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Assiyah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1874520"/>
                            <a:ext cx="5571000" cy="43509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1120680"/>
                              <a:ext cx="5571000" cy="800280"/>
                            </a:xfrm>
                          </wpg:grpSpPr>
                          <wps:wsp>
                            <wps:cNvSpPr/>
                            <wps:spPr>
                              <a:xfrm rot="10800000">
                                <a:off x="579600" y="0"/>
                                <a:ext cx="4991040" cy="800280"/>
                              </a:xfrm>
                              <a:prstGeom prst="arc">
                                <a:avLst>
                                  <a:gd name="adj1" fmla="val 11050002"/>
                                  <a:gd name="adj2" fmla="val 21350618"/>
                                </a:avLst>
                              </a:prstGeom>
                              <a:noFill/>
                              <a:ln w="284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/>
                                      <w:color w:val="0000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42624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2nd voile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5570280" cy="7995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579240" y="0"/>
                                <a:ext cx="4991040" cy="799560"/>
                              </a:xfrm>
                              <a:prstGeom prst="arc">
                                <a:avLst>
                                  <a:gd name="adj1" fmla="val 11050002"/>
                                  <a:gd name="adj2" fmla="val 21350618"/>
                                </a:avLst>
                              </a:prstGeom>
                              <a:noFill/>
                              <a:ln w="284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/>
                                      <w:color w:val="000000"/>
                                    </w:rPr>
                                    <w:t>P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10656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3em voile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3280" y="3551400"/>
                              <a:ext cx="5517000" cy="7995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68760"/>
                                <a:ext cx="86796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position w:val="7"/>
                                    </w:rPr>
                                    <w:t>er</w:t>
                                  </w: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vertAlign w:val="baseline"/>
                                      <w:position w:val="0"/>
                                    </w:rPr>
                                    <w:t xml:space="preserve"> voile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525960" y="0"/>
                                <a:ext cx="4991040" cy="799560"/>
                              </a:xfrm>
                              <a:prstGeom prst="arc">
                                <a:avLst>
                                  <a:gd name="adj1" fmla="val 11050002"/>
                                  <a:gd name="adj2" fmla="val 21350618"/>
                                </a:avLst>
                              </a:prstGeom>
                              <a:noFill/>
                              <a:ln w="284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/>
                                      <w:color w:val="000000"/>
                                    </w:rPr>
                                    <w:t>P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e 201" style="position:absolute;margin-left:23.4pt;margin-top:1.3pt;width:465pt;height:554.4pt" coordorigin="468,26" coordsize="9300,11088">
                <v:group id="shape_0" alt="Groupe 198" style="position:absolute;left:2616;top:26;width:5256;height:8664">
                  <v:group id="shape_0" alt="Groupe 196" style="position:absolute;left:6445;top:1154;width:1427;height:7164">
                    <v:rect id="shape_0" ID="Rectangle 2" stroked="t" style="position:absolute;left:6445;top:1154;width:1366;height:7163">
                      <w10:wrap type="none"/>
                      <v:fill o:detectmouseclick="t" on="false"/>
                      <v:stroke color="black" weight="12600" joinstyle="miter" endcap="flat"/>
                    </v:rect>
                    <v:rect id="shape_0" ID="Zone de texte 2" stroked="f" style="position:absolute;left:6445;top:1154;width:142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Miséricorde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197" style="position:absolute;left:2616;top:1154;width:1427;height:7164">
                    <v:rect id="shape_0" ID="Rectangle 3" stroked="t" style="position:absolute;left:2616;top:1154;width:1366;height:7163">
                      <w10:wrap type="none"/>
                      <v:fill o:detectmouseclick="t" on="false"/>
                      <v:stroke color="black" weight="12600" joinstyle="miter" endcap="flat"/>
                    </v:rect>
                    <v:rect id="shape_0" ID="Zone de texte 2" stroked="f" style="position:absolute;left:2616;top:1154;width:142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Rigueur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195" style="position:absolute;left:4512;top:26;width:1368;height:8664">
                    <v:rect id="shape_0" ID="Rectangle 4" stroked="t" style="position:absolute;left:4512;top:26;width:1367;height:8663">
                      <w10:wrap type="none"/>
                      <v:fill o:detectmouseclick="t" on="false"/>
                      <v:stroke color="black" weight="12600" joinstyle="miter" endcap="flat"/>
                    </v:rect>
                    <v:rect id="shape_0" ID="Zone de texte 2" stroked="f" style="position:absolute;left:4512;top:26;width:1367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Equilibre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</v:group>
                <v:group id="shape_0" alt="Groupe 199" style="position:absolute;left:1644;top:218;width:8124;height:10896">
                  <v:group id="shape_0" alt="Groupe 29" style="position:absolute;left:4368;top:218;width:3828;height:2963">
                    <v:oval id="shape_0" ID="Ellipse 8" stroked="t" style="position:absolute;left:4368;top:218;width:3827;height:2962">
                      <w10:wrap type="none"/>
                      <v:fill o:detectmouseclick="t" on="false"/>
                      <v:stroke color="#ed7d31" weight="12600" joinstyle="miter" endcap="flat"/>
                    </v:oval>
                    <v:rect id="shape_0" ID="Zone de texte 2" stroked="f" style="position:absolute;left:6049;top:446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ED7D31"/>
                              </w:rPr>
                              <w:t>Atziluth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28" style="position:absolute;left:1644;top:374;width:2651;height:2543">
                    <v:oval id="shape_0" ID="Ellipse 10" stroked="t" style="position:absolute;left:1644;top:374;width:2650;height:2542">
                      <w10:wrap type="none"/>
                      <v:fill o:detectmouseclick="t" on="false"/>
                      <v:stroke color="#5b9bd5" weight="12600" joinstyle="miter" endcap="flat"/>
                    </v:oval>
                    <v:rect id="shape_0" ID="Zone de texte 2" stroked="f" style="position:absolute;left:2064;top:530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0070C0"/>
                              </w:rPr>
                              <w:t>Beriah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30" style="position:absolute;left:1836;top:3002;width:7932;height:5568">
                    <v:oval id="shape_0" ID="Ellipse 12" stroked="t" style="position:absolute;left:1836;top:3002;width:7931;height:5567">
                      <w10:wrap type="none"/>
                      <v:fill o:detectmouseclick="t" on="false"/>
                      <v:stroke color="#70ad47" weight="12600" joinstyle="miter" endcap="flat"/>
                    </v:oval>
                    <v:rect id="shape_0" ID="Zone de texte 2" stroked="f" style="position:absolute;left:7813;top:4310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color w:val="70AD47"/>
                              </w:rPr>
                              <w:t>Yetzirah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31" style="position:absolute;left:3288;top:8571;width:2796;height:2543">
                    <v:oval id="shape_0" ID="Ellipse 14" stroked="t" style="position:absolute;left:3432;top:8571;width:2651;height:2542">
                      <w10:wrap type="none"/>
                      <v:fill o:detectmouseclick="t" on="false"/>
                      <v:stroke color="black" weight="12600" joinstyle="miter" endcap="flat"/>
                    </v:oval>
                    <v:rect id="shape_0" ID="Zone de texte 2" stroked="f" style="position:absolute;left:3288;top:9639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Assiyah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</v:group>
                <v:group id="shape_0" alt="Groupe 200" style="position:absolute;left:468;top:2978;width:8773;height:6852">
                  <v:group id="shape_0" alt="Groupe 193" style="position:absolute;left:468;top:4742;width:8772;height:1260">
                    <v:arc id="shape_0" ID="Arc 18" stroked="t" style="position:absolute;left:1381;top:4743;width:7859;height:1259;rotation:180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28440" joinstyle="miter" endcap="flat"/>
                    </v:arc>
                    <v:rect id="shape_0" ID="Zone de texte 2" stroked="f" style="position:absolute;left:468;top:5414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2nd voile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194" style="position:absolute;left:468;top:2978;width:8773;height:1259">
                    <v:arc id="shape_0" ID="Arc 16" stroked="t" style="position:absolute;left:1380;top:2978;width:7859;height:1258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28440" joinstyle="miter" endcap="flat"/>
                    </v:arc>
                    <v:rect id="shape_0" ID="Zone de texte 2" stroked="f" style="position:absolute;left:468;top:3146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3em voile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</v:group>
                  <v:group id="shape_0" alt="Groupe 192" style="position:absolute;left:552;top:8571;width:8688;height:1259">
                    <v:rect id="shape_0" ID="Zone de texte 2" stroked="f" style="position:absolute;left:552;top:8679;width:1366;height:41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</w:rPr>
                              <w:t>1</w:t>
                            </w: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position w:val="7"/>
                              </w:rPr>
                              <w:t>er</w:t>
                            </w: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vertAlign w:val="baseline"/>
                                <w:position w:val="0"/>
                              </w:rPr>
                              <w:t xml:space="preserve"> voile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weight="9360" joinstyle="miter" endcap="flat"/>
                    </v:rect>
                    <v:arc id="shape_0" ID="Arc 27" stroked="t" style="position:absolute;left:1380;top:8571;width:7859;height:1258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28440" joinstyle="miter" endcap="flat"/>
                    </v:arc>
                  </v:group>
                </v:group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521075" cy="6568440"/>
            <wp:effectExtent l="0" t="0" r="0" b="0"/>
            <wp:docPr id="2" name="Image 1" descr="File:Tree-of-Life Queens-Colour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ile:Tree-of-Life Queens-Colour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Licence image originale : https://creativecommons.org/licenses/by-sa/2.5/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joueur assigne des bonus/malus aux différentes sephiroth :</w:t>
      </w:r>
    </w:p>
    <w:p>
      <w:pPr>
        <w:pStyle w:val="Normal"/>
        <w:spacing w:lineRule="auto" w:line="240" w:before="0" w:after="0"/>
        <w:rPr/>
      </w:pPr>
      <w:r>
        <w:rPr/>
        <w:t>+3 ;+2 ;+1 ;+1 ;0 ;0 ;-1 ;-1 ;-2 ;-3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PJ commence sur Malkhut et navigue d’une sephira à l’autre (1d4) pour utiliser ces caractéristiques.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Une fois placé sur la carac (sephira) choisie pour une action, il doit jeter 2d6+Carac</w:t>
        <w:br/>
        <w:t>10+ : OUI ET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7-9 : OUI MAIS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6- : NON ET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Les Sephiroth représentent l’aspect positif des carac : ce qui se passe si son jet réussit.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Kether</w:t>
      </w:r>
      <w:r>
        <w:rPr/>
        <w:t xml:space="preserve"> impulsion initiale qui va donner la création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créer des éléments pour influer directement sur l’environnement.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Chokmah</w:t>
      </w:r>
      <w:r>
        <w:rPr/>
        <w:t xml:space="preserve"> énergie brute, puissance fondamentale issue du principe créateur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redonner la vie, soigner, réparer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Binah</w:t>
      </w:r>
      <w:r>
        <w:rPr/>
        <w:t xml:space="preserve"> donne naissance à un potentiel d’existence structuré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déplacer, organiser, mettre de l’ordre là où règne le chaos.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Chesod</w:t>
      </w:r>
      <w:r>
        <w:rPr/>
        <w:t xml:space="preserve"> essence même de la création à naître : son identité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changer l’objectif, la raison d’être d’une créature, d’un PNJ…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Geburah</w:t>
      </w:r>
      <w:r>
        <w:rPr/>
        <w:t xml:space="preserve"> morale et justice qui contraint l’identité profonde de l’individu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changer l’attitude, l’alignement, le penchant d’une créature, d’un PNJ…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Tipharet</w:t>
      </w:r>
      <w:r>
        <w:rPr/>
        <w:t xml:space="preserve"> équilibre entre bonté et justice, création et destruction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apaiser les tensions, restaurer la paix, …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Netzach</w:t>
      </w:r>
      <w:r>
        <w:rPr/>
        <w:t xml:space="preserve"> domaine psychique des passions et des motivations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mettre en action ce qui est dans l’attente, en mouvement ce qui est immobile, …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Hod</w:t>
      </w:r>
      <w:r>
        <w:rPr/>
        <w:t xml:space="preserve"> domaine psychique de la logique et du raisonnement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amener au raisonnement et à la réflexion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Yesod</w:t>
      </w:r>
      <w:r>
        <w:rPr/>
        <w:t xml:space="preserve"> équilibre entre les motivations et le raisonnement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tempérer ou encourager les ardeurs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Malkhut </w:t>
      </w:r>
      <w:r>
        <w:rPr/>
        <w:t>est le monde physique et matériel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En utilisant cette carac, le PJ peut agir directement dans le monde matériel = habiter le personnage aidé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La 11</w:t>
      </w:r>
      <w:r>
        <w:rPr>
          <w:b/>
          <w:vertAlign w:val="superscript"/>
        </w:rPr>
        <w:t>ème</w:t>
      </w:r>
      <w:r>
        <w:rPr>
          <w:b/>
        </w:rPr>
        <w:t xml:space="preserve"> sephira, la Sephira cachée : Daath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Daath</w:t>
      </w:r>
      <w:r>
        <w:rPr/>
        <w:t xml:space="preserve"> est cachée entre Tipharet et Kether sur le pilier central. Elle est le fruit de la connaissance du bien et du mal</w:t>
      </w:r>
    </w:p>
    <w:p>
      <w:pPr>
        <w:pStyle w:val="Normal"/>
        <w:spacing w:lineRule="auto" w:line="240" w:before="0" w:after="0"/>
        <w:rPr/>
      </w:pPr>
      <w:r>
        <w:rPr>
          <w:b/>
        </w:rPr>
        <w:t>En utilisant cette carac, le PJ peut inverser les conséquences et aspects négatifs et positifs d’un jet précédent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2 – L’Arbre de Mort</w:t>
      </w:r>
    </w:p>
    <w:p>
      <w:pPr>
        <w:pStyle w:val="Normal"/>
        <w:spacing w:lineRule="auto" w:line="240" w:before="0" w:after="0"/>
        <w:rPr/>
      </w:pPr>
      <w:r>
        <w:rPr/>
        <w:t>Là où sur l’arbre de vie poussent les Sephiroth, sur l’arbre de mort poussent les Qliphoth (Qlipha au singulier)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Les Qlipoth représentent l’aspect négatif des carac : ce qui se passe si le jet échoue.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Aretz</w:t>
      </w:r>
      <w:r>
        <w:rPr/>
        <w:t xml:space="preserve"> (Le Monde, Terre du dessous), Monde matériel perverti, l'opposé de Malkuth</w:t>
      </w:r>
    </w:p>
    <w:p>
      <w:pPr>
        <w:pStyle w:val="Normal"/>
        <w:spacing w:lineRule="auto" w:line="240" w:before="0" w:after="0"/>
        <w:rPr/>
      </w:pPr>
      <w:r>
        <w:rPr>
          <w:b/>
        </w:rPr>
        <w:t>Sheol</w:t>
      </w:r>
      <w:r>
        <w:rPr/>
        <w:t xml:space="preserve"> (La Fosse), l'opposé de Yesod</w:t>
      </w:r>
    </w:p>
    <w:p>
      <w:pPr>
        <w:pStyle w:val="Normal"/>
        <w:spacing w:lineRule="auto" w:line="240" w:before="0" w:after="0"/>
        <w:rPr/>
      </w:pPr>
      <w:r>
        <w:rPr>
          <w:b/>
        </w:rPr>
        <w:t>Abron</w:t>
      </w:r>
      <w:r>
        <w:rPr/>
        <w:t xml:space="preserve"> (La Perdition), l'opposé de Hod</w:t>
      </w:r>
    </w:p>
    <w:p>
      <w:pPr>
        <w:pStyle w:val="Normal"/>
        <w:spacing w:lineRule="auto" w:line="240" w:before="0" w:after="0"/>
        <w:rPr/>
      </w:pPr>
      <w:r>
        <w:rPr>
          <w:b/>
        </w:rPr>
        <w:t>Tit Aïsoun</w:t>
      </w:r>
      <w:r>
        <w:rPr/>
        <w:t xml:space="preserve"> (L’Ordure), L'opposé de Netzach</w:t>
      </w:r>
    </w:p>
    <w:p>
      <w:pPr>
        <w:pStyle w:val="Normal"/>
        <w:spacing w:lineRule="auto" w:line="240" w:before="0" w:after="0"/>
        <w:rPr/>
      </w:pPr>
      <w:r>
        <w:rPr>
          <w:b/>
        </w:rPr>
        <w:t>Bershoat</w:t>
      </w:r>
      <w:r>
        <w:rPr/>
        <w:t xml:space="preserve"> (Le Puits), L'opposé de Tipharet</w:t>
      </w:r>
    </w:p>
    <w:p>
      <w:pPr>
        <w:pStyle w:val="Normal"/>
        <w:spacing w:lineRule="auto" w:line="240" w:before="0" w:after="0"/>
        <w:rPr/>
      </w:pPr>
      <w:r>
        <w:rPr>
          <w:b/>
        </w:rPr>
        <w:t>Irasthoum</w:t>
      </w:r>
      <w:r>
        <w:rPr/>
        <w:t xml:space="preserve"> (L’Ombre de la Mort), L'opposé de Geburah</w:t>
      </w:r>
    </w:p>
    <w:p>
      <w:pPr>
        <w:pStyle w:val="Normal"/>
        <w:spacing w:lineRule="auto" w:line="240" w:before="0" w:after="0"/>
        <w:rPr/>
      </w:pPr>
      <w:r>
        <w:rPr>
          <w:b/>
        </w:rPr>
        <w:t>Ozlomoh</w:t>
      </w:r>
      <w:r>
        <w:rPr/>
        <w:t xml:space="preserve"> (Les Portes de la Mort), L'opposé de Chesod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Gehenne </w:t>
      </w:r>
      <w:r>
        <w:rPr/>
        <w:t>(La Vallée du Sommeil), L'opposé de Binah</w:t>
      </w:r>
    </w:p>
    <w:p>
      <w:pPr>
        <w:pStyle w:val="Normal"/>
        <w:spacing w:lineRule="auto" w:line="240" w:before="0" w:after="0"/>
        <w:rPr/>
      </w:pPr>
      <w:r>
        <w:rPr>
          <w:b/>
        </w:rPr>
        <w:t>Gehenoum</w:t>
      </w:r>
      <w:r>
        <w:rPr/>
        <w:t xml:space="preserve"> (La Vallée de l’Oubli), L'opposé de Chokmah</w:t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Gehenomoth </w:t>
      </w:r>
      <w:r>
        <w:rPr/>
        <w:t>(La Vallée de la Mort). L'opposé de Kether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Daath porte en elle vie et mort. Elle est Sephira et Qlipha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3 – Piliers, Voiles et Sentiers</w:t>
      </w:r>
    </w:p>
    <w:p>
      <w:pPr>
        <w:pStyle w:val="Normal"/>
        <w:spacing w:lineRule="auto" w:line="240" w:before="0" w:after="0"/>
        <w:rPr/>
      </w:pPr>
      <w:r>
        <w:rPr>
          <w:b/>
        </w:rPr>
        <w:t>Le PJ « choisit » son attitude en se positionnant sur un pilier</w:t>
      </w:r>
    </w:p>
    <w:p>
      <w:pPr>
        <w:pStyle w:val="Normal"/>
        <w:spacing w:lineRule="auto" w:line="240" w:before="0" w:after="0"/>
        <w:rPr/>
      </w:pPr>
      <w:r>
        <w:rPr>
          <w:b/>
        </w:rPr>
        <w:t>Miséricorde</w:t>
      </w:r>
      <w:r>
        <w:rPr/>
        <w:t xml:space="preserve"> Le pilier de droite (Netzach, Chesod, Chokmah) </w:t>
      </w:r>
    </w:p>
    <w:p>
      <w:pPr>
        <w:pStyle w:val="Normal"/>
        <w:spacing w:lineRule="auto" w:line="240" w:before="0" w:after="0"/>
        <w:rPr/>
      </w:pPr>
      <w:r>
        <w:rPr>
          <w:b/>
        </w:rPr>
        <w:t>Rigueur</w:t>
      </w:r>
      <w:r>
        <w:rPr/>
        <w:t xml:space="preserve"> Le pilier de gauche (Hod, Geburah, Binah) </w:t>
      </w:r>
    </w:p>
    <w:p>
      <w:pPr>
        <w:pStyle w:val="Normal"/>
        <w:spacing w:lineRule="auto" w:line="240" w:before="0" w:after="0"/>
        <w:rPr/>
      </w:pPr>
      <w:r>
        <w:rPr>
          <w:b/>
        </w:rPr>
        <w:t>Equilibre</w:t>
      </w:r>
      <w:r>
        <w:rPr/>
        <w:t xml:space="preserve"> Le pilier central (Yesod, Tipharet, [Daath], Kether)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PJ peut franchir un voile avec 2D6+RIEN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10+ : Passe et peut poursuivre sa route (déplacements indiqués par le D4 jeté précédemment)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7-9 : Passe mais ne peut plus avancer que de 1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6- : Reste là où il est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Le premier voile</w:t>
      </w:r>
      <w:r>
        <w:rPr/>
        <w:t>, entre Malkhut et le reste de l’arbre</w:t>
      </w:r>
    </w:p>
    <w:p>
      <w:pPr>
        <w:pStyle w:val="Normal"/>
        <w:spacing w:lineRule="auto" w:line="240" w:before="0" w:after="0"/>
        <w:rPr/>
      </w:pPr>
      <w:r>
        <w:rPr>
          <w:b/>
        </w:rPr>
        <w:t>Le deuxième voile</w:t>
      </w:r>
      <w:r>
        <w:rPr/>
        <w:t xml:space="preserve"> sépare le plan astral du plan spirituel </w:t>
      </w:r>
    </w:p>
    <w:p>
      <w:pPr>
        <w:pStyle w:val="Normal"/>
        <w:spacing w:lineRule="auto" w:line="240" w:before="0" w:after="0"/>
        <w:rPr/>
      </w:pPr>
      <w:r>
        <w:rPr>
          <w:b/>
        </w:rPr>
        <w:t>Le troisième voile</w:t>
      </w:r>
      <w:r>
        <w:rPr/>
        <w:t xml:space="preserve"> sépare le plan spirituel du plan archétypal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b/>
        </w:rPr>
        <w:t>Le PJ se déplace sur les 22 sentiers (avec 1d4) pour naviguer entre les sephiroth.</w:t>
      </w:r>
      <w:r>
        <w:rPr>
          <w:color w:val="FF0000"/>
        </w:rPr>
        <w:t xml:space="preserve"> 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color w:val="FF0000"/>
        </w:rPr>
        <w:t xml:space="preserve">(note forgeron : possibilité de développer en lien avec les 22 Arcanes Majeurs du tarot divinatoire.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4 - Les mondes de kabbale et leurs peuples</w:t>
      </w:r>
    </w:p>
    <w:p>
      <w:pPr>
        <w:pStyle w:val="Normal"/>
        <w:spacing w:lineRule="auto" w:line="240" w:before="0" w:after="0"/>
        <w:rPr/>
      </w:pPr>
      <w:r>
        <w:rPr/>
        <w:t>Quatre plans coexistent côté Vie et côté Mort.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En se plaçant sur telle Sephira, le PJ choisit</w:t>
      </w:r>
      <w:bookmarkStart w:id="0" w:name="_GoBack"/>
      <w:bookmarkEnd w:id="0"/>
      <w:r>
        <w:rPr/>
        <w:t xml:space="preserve"> la caractéristique et l’attitude utilisée. S’il change de monde, il se confronte à une réalité différente. Les suites, positives ou négatives à ses jets dépendront du monde.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plan Matériel ASSIYAH</w:t>
      </w:r>
    </w:p>
    <w:p>
      <w:pPr>
        <w:pStyle w:val="Normal"/>
        <w:spacing w:lineRule="auto" w:line="240" w:before="0" w:after="0"/>
        <w:rPr/>
      </w:pPr>
      <w:r>
        <w:rPr/>
        <w:t xml:space="preserve">En ASSIAH, sont étroitement imbriqués MALKUTH, monde semblable au notre, et son alter-ego sombre ARETZ. </w:t>
      </w:r>
    </w:p>
    <w:p>
      <w:pPr>
        <w:pStyle w:val="Normal"/>
        <w:spacing w:lineRule="auto" w:line="240" w:before="0" w:after="0"/>
        <w:rPr/>
      </w:pPr>
      <w:r>
        <w:rPr/>
        <w:t xml:space="preserve">Les </w:t>
      </w:r>
      <w:r>
        <w:rPr>
          <w:b/>
        </w:rPr>
        <w:t>Ishim</w:t>
      </w:r>
      <w:r>
        <w:rPr/>
        <w:t xml:space="preserve"> de MALKUTH sont des hommes sages dotés de pouvoirs surnaturels. Les </w:t>
      </w:r>
      <w:r>
        <w:rPr>
          <w:b/>
        </w:rPr>
        <w:t>Zoferos</w:t>
      </w:r>
      <w:r>
        <w:rPr/>
        <w:t xml:space="preserve"> d’ARETZ incarnent l'aspect sauvage, violent et charnel de ce monde.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Le plan Astral YETSIRAH</w:t>
      </w:r>
    </w:p>
    <w:p>
      <w:pPr>
        <w:pStyle w:val="Normal"/>
        <w:spacing w:lineRule="auto" w:line="240" w:before="0" w:after="0"/>
        <w:rPr/>
      </w:pPr>
      <w:r>
        <w:rPr/>
        <w:t>En YETSIRAH on trouve 6 mondes et leurs opposés 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Les </w:t>
      </w:r>
      <w:r>
        <w:rPr>
          <w:b/>
        </w:rPr>
        <w:t>Pygmachos</w:t>
      </w:r>
      <w:r>
        <w:rPr/>
        <w:t xml:space="preserve"> de OSLOMOH sont des géants noirs à tête de félins semant le chaos. Les </w:t>
      </w:r>
      <w:r>
        <w:rPr>
          <w:b/>
        </w:rPr>
        <w:t>Hashmalim</w:t>
      </w:r>
      <w:r>
        <w:rPr/>
        <w:t xml:space="preserve"> de CHESOD sont des êtres de lumière qui vénèrent l'ordre.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Les </w:t>
      </w:r>
      <w:r>
        <w:rPr>
          <w:b/>
        </w:rPr>
        <w:t>Empristes</w:t>
      </w:r>
      <w:r>
        <w:rPr/>
        <w:t xml:space="preserve"> d’IRASTHOUM, aux énormes têtes noires à la gueule toujours ouverte déversant des torrents de lave. Les </w:t>
      </w:r>
      <w:r>
        <w:rPr>
          <w:b/>
        </w:rPr>
        <w:t>Seraphims</w:t>
      </w:r>
      <w:r>
        <w:rPr/>
        <w:t xml:space="preserve"> de GEBURAH, êtres de feu purificateur.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Les</w:t>
      </w:r>
      <w:r>
        <w:rPr>
          <w:b/>
        </w:rPr>
        <w:t xml:space="preserve"> Emporos</w:t>
      </w:r>
      <w:r>
        <w:rPr/>
        <w:t>, des géants noirs toujours à se chamailler, habitent BERSHOUAT et les</w:t>
      </w:r>
      <w:r>
        <w:rPr>
          <w:b/>
        </w:rPr>
        <w:t xml:space="preserve"> Malakim</w:t>
      </w:r>
      <w:r>
        <w:rPr/>
        <w:t xml:space="preserve"> deTIPHARET recherchent la parfaite harmonie.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Les</w:t>
      </w:r>
      <w:r>
        <w:rPr>
          <w:b/>
        </w:rPr>
        <w:t xml:space="preserve"> Korakias</w:t>
      </w:r>
      <w:r>
        <w:rPr/>
        <w:t xml:space="preserve"> de TIT AÏSOUN ont des visages hideux et des ailes de corbeaux, ils prônent la passion pour le désir, la convoitise et la jalousie, tandis que les </w:t>
      </w:r>
      <w:r>
        <w:rPr>
          <w:b/>
        </w:rPr>
        <w:t xml:space="preserve">Malki </w:t>
      </w:r>
      <w:r>
        <w:rPr/>
        <w:t>de NETZACH utilisent la passion comme énergie mobilisatrice et constructive.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Les </w:t>
      </w:r>
      <w:r>
        <w:rPr>
          <w:b/>
        </w:rPr>
        <w:t>Apateones</w:t>
      </w:r>
      <w:r>
        <w:rPr/>
        <w:t xml:space="preserve"> d’ABRON vivent dans le mensonge, l’inconstance et le manque de détermination, tandis que les </w:t>
      </w:r>
      <w:r>
        <w:rPr>
          <w:b/>
        </w:rPr>
        <w:t>Benim</w:t>
      </w:r>
      <w:r>
        <w:rPr/>
        <w:t xml:space="preserve"> de HOD, prônent une vie sans cesse réinventée, réincarnée.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Les </w:t>
      </w:r>
      <w:r>
        <w:rPr>
          <w:b/>
        </w:rPr>
        <w:t>Asemnos</w:t>
      </w:r>
      <w:r>
        <w:rPr/>
        <w:t xml:space="preserve"> de SHEOL sont des créatures obscènes, tandis que les</w:t>
      </w:r>
      <w:r>
        <w:rPr>
          <w:b/>
        </w:rPr>
        <w:t xml:space="preserve"> Keroubim</w:t>
      </w:r>
      <w:r>
        <w:rPr/>
        <w:t xml:space="preserve"> de YESOD, dotés d'une grande mémoire, veillent à faire appliquer la justice.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plan Spirituel BERIAH</w:t>
      </w:r>
    </w:p>
    <w:p>
      <w:pPr>
        <w:pStyle w:val="Normal"/>
        <w:spacing w:lineRule="auto" w:line="240" w:before="0" w:after="0"/>
        <w:rPr/>
      </w:pPr>
      <w:r>
        <w:rPr/>
        <w:t>En Beriah on trouve 2 mondes et leurs opposés 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Les </w:t>
      </w:r>
      <w:r>
        <w:rPr>
          <w:b/>
        </w:rPr>
        <w:t xml:space="preserve">Proxènes </w:t>
      </w:r>
      <w:r>
        <w:rPr/>
        <w:t xml:space="preserve">de GEHENOUM sont des géants noirs avec des serpents enlacés autour d'eux. Ils sont attachés à des apparences menteuses et matérielles, en opposition à celles de la réalité et de la sagesse incarnées par CHOKMAH et ses </w:t>
      </w:r>
      <w:r>
        <w:rPr>
          <w:b/>
        </w:rPr>
        <w:t xml:space="preserve">Ophanim </w:t>
      </w:r>
      <w:r>
        <w:rPr/>
        <w:t>qui ont l'apparence de créatures ailées entourées de roues volantes.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BINAH est la demeure des </w:t>
      </w:r>
      <w:r>
        <w:rPr>
          <w:b/>
        </w:rPr>
        <w:t xml:space="preserve">Aralim. </w:t>
      </w:r>
      <w:r>
        <w:rPr/>
        <w:t xml:space="preserve">Les </w:t>
      </w:r>
      <w:r>
        <w:rPr>
          <w:b/>
        </w:rPr>
        <w:t>Dektènes</w:t>
      </w:r>
      <w:r>
        <w:rPr/>
        <w:t xml:space="preserve"> de GEHENNE ont la tête voilée de noir avec des cornes, des yeux hideux vus à travers le voile, toujours suivis par des centaures.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Le plan Archétypal ATZILUTH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KETHER, demeure des </w:t>
      </w:r>
      <w:r>
        <w:rPr>
          <w:b/>
        </w:rPr>
        <w:t>Hayoth</w:t>
      </w:r>
      <w:r>
        <w:rPr/>
        <w:t xml:space="preserve">. Ils sont la source des éléments. Les </w:t>
      </w:r>
      <w:r>
        <w:rPr>
          <w:b/>
        </w:rPr>
        <w:t>Diaroumènes</w:t>
      </w:r>
      <w:r>
        <w:rPr/>
        <w:t xml:space="preserve"> de GEHENOMOTH sont des créatures qui ont l'apparence de deux têtes gigantesques ailées comme des chauves-souris.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403b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403b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403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403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403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Application>LibreOffice/6.4.3.2$Windows_X86_64 LibreOffice_project/747b5d0ebf89f41c860ec2a39efd7cb15b54f2d8</Application>
  <Pages>5</Pages>
  <Words>1171</Words>
  <Characters>5915</Characters>
  <CharactersWithSpaces>7005</CharactersWithSpaces>
  <Paragraphs>88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2021-09-19T11:16:00Z</dcterms:created>
  <dc:creator>Utilisateur</dc:creator>
  <dc:description/>
  <dc:language>fr-FR</dc:language>
  <cp:lastModifiedBy>Utilisateur</cp:lastModifiedBy>
  <dcterms:modified xsi:type="dcterms:W3CDTF">2021-09-27T09:38:00Z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